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</w:t>
      </w:r>
      <w:r w:rsidR="00C22B23" w:rsidRPr="00C22B23">
        <w:t xml:space="preserve">площадью 6492 кв. м, кадастровый номер 53:19:0010317:163, расположенного по адресу: Российская Федерация, Новгородская область, Холмский муниципальный район, </w:t>
      </w:r>
      <w:proofErr w:type="spellStart"/>
      <w:r w:rsidR="00C22B23" w:rsidRPr="00C22B23">
        <w:t>Холмское</w:t>
      </w:r>
      <w:proofErr w:type="spellEnd"/>
      <w:r w:rsidR="00C22B23" w:rsidRPr="00C22B23">
        <w:t xml:space="preserve"> городское поселение, г. Холм, пр. Богданова, з/у 17 «а», с видом разрешенного использования – автомобильный транспорт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7A515E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right="-1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057115" w:rsidRPr="00057115">
        <w:rPr>
          <w:sz w:val="24"/>
        </w:rPr>
        <w:t xml:space="preserve">администрации Холмского муниципального района от </w:t>
      </w:r>
      <w:r w:rsidR="007A515E">
        <w:rPr>
          <w:sz w:val="24"/>
        </w:rPr>
        <w:t>02.02.2024</w:t>
      </w:r>
      <w:r w:rsidR="00057115" w:rsidRPr="00057115">
        <w:rPr>
          <w:sz w:val="24"/>
        </w:rPr>
        <w:t xml:space="preserve"> № </w:t>
      </w:r>
      <w:r w:rsidR="001C4044">
        <w:rPr>
          <w:sz w:val="24"/>
        </w:rPr>
        <w:t>72</w:t>
      </w:r>
      <w:bookmarkStart w:id="0" w:name="_GoBack"/>
      <w:bookmarkEnd w:id="0"/>
      <w:r w:rsidR="00057115" w:rsidRPr="00057115">
        <w:rPr>
          <w:sz w:val="24"/>
        </w:rPr>
        <w:t xml:space="preserve"> «</w:t>
      </w:r>
      <w:r w:rsidR="007A515E" w:rsidRPr="007A515E">
        <w:rPr>
          <w:sz w:val="24"/>
        </w:rPr>
        <w:t>О проведении электронного аукциона на право заключения договора аренды земельного участка с кадастровым номером 53:19:0010317:163</w:t>
      </w:r>
      <w:r w:rsidR="00057115" w:rsidRPr="00057115">
        <w:rPr>
          <w:sz w:val="24"/>
        </w:rPr>
        <w:t>»</w:t>
      </w:r>
      <w:r w:rsidRPr="00241480">
        <w:rPr>
          <w:sz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EF0843">
        <w:rPr>
          <w:sz w:val="24"/>
          <w:szCs w:val="24"/>
        </w:rPr>
        <w:t>175270, Российская Федерация, Новгородская область, Холмский район,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1C4044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D95F57" w:rsidRDefault="00D95F57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 w:rsidR="007A515E"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приложением документов, подтверждающих перечисление </w:t>
      </w:r>
      <w:r w:rsidRPr="0085677D">
        <w:rPr>
          <w:sz w:val="24"/>
          <w:szCs w:val="24"/>
        </w:rPr>
        <w:lastRenderedPageBreak/>
        <w:t>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85CEA"/>
    <w:rsid w:val="001C4044"/>
    <w:rsid w:val="001E4943"/>
    <w:rsid w:val="00241480"/>
    <w:rsid w:val="0029022A"/>
    <w:rsid w:val="003D5AF4"/>
    <w:rsid w:val="005174CE"/>
    <w:rsid w:val="00532C38"/>
    <w:rsid w:val="005778B1"/>
    <w:rsid w:val="007A515E"/>
    <w:rsid w:val="0085677D"/>
    <w:rsid w:val="00857C52"/>
    <w:rsid w:val="008B3CC1"/>
    <w:rsid w:val="009C156D"/>
    <w:rsid w:val="00A304FC"/>
    <w:rsid w:val="00B6407C"/>
    <w:rsid w:val="00C22B23"/>
    <w:rsid w:val="00CB5B3D"/>
    <w:rsid w:val="00D62A44"/>
    <w:rsid w:val="00D95F57"/>
    <w:rsid w:val="00EF0843"/>
    <w:rsid w:val="00F1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4826</Words>
  <Characters>27511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10</cp:revision>
  <cp:lastPrinted>2023-07-20T07:23:00Z</cp:lastPrinted>
  <dcterms:created xsi:type="dcterms:W3CDTF">2023-04-17T08:05:00Z</dcterms:created>
  <dcterms:modified xsi:type="dcterms:W3CDTF">2024-02-02T07:37:00Z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