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И ЗАПОЛНЕНИЯ СООТВЕТСТВУЮЩЕЙ ФОРМЫ СПРАВКИ</w:t>
      </w:r>
      <w:bookmarkEnd w:id="0"/>
      <w:r w:rsidRPr="0012059F">
        <w:rPr>
          <w:rFonts w:ascii="Times New Roman" w:hAnsi="Times New Roman"/>
          <w:b/>
          <w:sz w:val="28"/>
          <w:szCs w:val="28"/>
        </w:rPr>
        <w:t xml:space="preserve">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proofErr w:type="gramStart"/>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roofErr w:type="gramEnd"/>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4565D4" w:rsidRDefault="00BF0910" w:rsidP="00BF0910">
      <w:pPr>
        <w:pStyle w:val="aa"/>
        <w:numPr>
          <w:ilvl w:val="0"/>
          <w:numId w:val="1"/>
        </w:numPr>
        <w:autoSpaceDE w:val="0"/>
        <w:autoSpaceDN w:val="0"/>
        <w:adjustRightInd w:val="0"/>
        <w:ind w:left="0" w:firstLine="709"/>
        <w:outlineLvl w:val="1"/>
        <w:rPr>
          <w:rFonts w:ascii="Times New Roman" w:hAnsi="Times New Roman"/>
          <w:color w:val="FF0000"/>
          <w:sz w:val="28"/>
          <w:szCs w:val="28"/>
        </w:rPr>
      </w:pPr>
      <w:r w:rsidRPr="004565D4">
        <w:rPr>
          <w:rFonts w:ascii="Times New Roman" w:hAnsi="Times New Roman"/>
          <w:color w:val="FF0000"/>
          <w:sz w:val="28"/>
          <w:szCs w:val="28"/>
        </w:rPr>
        <w:t>В соответствии с пунктом 4 стать</w:t>
      </w:r>
      <w:r w:rsidR="00D70AF5" w:rsidRPr="004565D4">
        <w:rPr>
          <w:rFonts w:ascii="Times New Roman" w:hAnsi="Times New Roman"/>
          <w:color w:val="FF0000"/>
          <w:sz w:val="28"/>
          <w:szCs w:val="28"/>
        </w:rPr>
        <w:t>и</w:t>
      </w:r>
      <w:r w:rsidRPr="004565D4">
        <w:rPr>
          <w:rFonts w:ascii="Times New Roman" w:hAnsi="Times New Roman"/>
          <w:color w:val="FF0000"/>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4565D4">
        <w:rPr>
          <w:rFonts w:ascii="Times New Roman" w:hAnsi="Times New Roman"/>
          <w:color w:val="FF0000"/>
          <w:sz w:val="28"/>
          <w:szCs w:val="28"/>
        </w:rPr>
        <w:t>паенакопления</w:t>
      </w:r>
      <w:proofErr w:type="spellEnd"/>
      <w:r w:rsidRPr="004565D4">
        <w:rPr>
          <w:rFonts w:ascii="Times New Roman" w:hAnsi="Times New Roman"/>
          <w:color w:val="FF0000"/>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4565D4" w:rsidDel="00BF0910">
        <w:rPr>
          <w:rFonts w:ascii="Times New Roman" w:hAnsi="Times New Roman"/>
          <w:color w:val="FF0000"/>
          <w:sz w:val="28"/>
          <w:szCs w:val="28"/>
        </w:rPr>
        <w:t xml:space="preserve"> </w:t>
      </w:r>
      <w:r w:rsidRPr="004565D4">
        <w:rPr>
          <w:rFonts w:ascii="Times New Roman" w:hAnsi="Times New Roman"/>
          <w:color w:val="FF0000"/>
          <w:sz w:val="28"/>
          <w:szCs w:val="28"/>
        </w:rPr>
        <w:t>В этой связи в данном подразделе также подлежит</w:t>
      </w:r>
      <w:r w:rsidR="00A50C47" w:rsidRPr="004565D4">
        <w:rPr>
          <w:rFonts w:ascii="Times New Roman" w:hAnsi="Times New Roman"/>
          <w:color w:val="FF0000"/>
          <w:sz w:val="28"/>
          <w:szCs w:val="28"/>
        </w:rPr>
        <w:t xml:space="preserve"> отражению</w:t>
      </w:r>
      <w:r w:rsidRPr="004565D4">
        <w:rPr>
          <w:rFonts w:ascii="Times New Roman" w:hAnsi="Times New Roman"/>
          <w:color w:val="FF0000"/>
          <w:sz w:val="28"/>
          <w:szCs w:val="28"/>
        </w:rPr>
        <w:t xml:space="preserve"> информация об указанных объектах до их регистрации в </w:t>
      </w:r>
      <w:proofErr w:type="spellStart"/>
      <w:r w:rsidRPr="004565D4">
        <w:rPr>
          <w:rFonts w:ascii="Times New Roman" w:hAnsi="Times New Roman"/>
          <w:color w:val="FF0000"/>
          <w:sz w:val="28"/>
          <w:szCs w:val="28"/>
        </w:rPr>
        <w:t>Росреестре</w:t>
      </w:r>
      <w:proofErr w:type="spellEnd"/>
      <w:r w:rsidR="007374F8" w:rsidRPr="004565D4">
        <w:rPr>
          <w:rFonts w:ascii="Times New Roman" w:hAnsi="Times New Roman"/>
          <w:color w:val="FF0000"/>
          <w:sz w:val="28"/>
          <w:szCs w:val="28"/>
        </w:rPr>
        <w:t>, если на отчетную дату у лица, в отношении которого представляется справка, имеется право собственности</w:t>
      </w:r>
      <w:r w:rsidRPr="004565D4">
        <w:rPr>
          <w:rFonts w:ascii="Times New Roman" w:hAnsi="Times New Roman"/>
          <w:color w:val="FF0000"/>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4565D4" w:rsidRDefault="00096ED3" w:rsidP="002E3630">
      <w:pPr>
        <w:pStyle w:val="aa"/>
        <w:numPr>
          <w:ilvl w:val="0"/>
          <w:numId w:val="1"/>
        </w:numPr>
        <w:ind w:left="0" w:firstLine="567"/>
        <w:rPr>
          <w:rFonts w:ascii="Times New Roman" w:hAnsi="Times New Roman"/>
          <w:color w:val="FF0000"/>
          <w:sz w:val="28"/>
          <w:szCs w:val="28"/>
        </w:rPr>
      </w:pPr>
      <w:r w:rsidRPr="004565D4">
        <w:rPr>
          <w:rFonts w:ascii="Times New Roman" w:hAnsi="Times New Roman"/>
          <w:color w:val="FF0000"/>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4565D4">
        <w:rPr>
          <w:rFonts w:ascii="Times New Roman" w:hAnsi="Times New Roman"/>
          <w:color w:val="FF0000"/>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4565D4">
        <w:rPr>
          <w:rFonts w:ascii="Times New Roman" w:hAnsi="Times New Roman"/>
          <w:color w:val="FF0000"/>
          <w:sz w:val="28"/>
          <w:szCs w:val="28"/>
        </w:rPr>
        <w:t xml:space="preserve"> в случае отсутствия прав собственности у лица, в отношении которого представляется справка</w:t>
      </w:r>
      <w:r w:rsidR="003D76BE" w:rsidRPr="004565D4">
        <w:rPr>
          <w:rFonts w:ascii="Times New Roman" w:hAnsi="Times New Roman"/>
          <w:color w:val="FF0000"/>
          <w:sz w:val="28"/>
          <w:szCs w:val="28"/>
        </w:rPr>
        <w:t>.</w:t>
      </w:r>
      <w:r w:rsidR="009E23C1" w:rsidRPr="004565D4">
        <w:rPr>
          <w:rFonts w:ascii="Times New Roman" w:hAnsi="Times New Roman"/>
          <w:color w:val="FF0000"/>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F06D7" w14:textId="77777777" w:rsidR="00C04904" w:rsidRDefault="00C04904" w:rsidP="00204BB5">
      <w:r>
        <w:separator/>
      </w:r>
    </w:p>
  </w:endnote>
  <w:endnote w:type="continuationSeparator" w:id="0">
    <w:p w14:paraId="6034CE39" w14:textId="77777777" w:rsidR="00C04904" w:rsidRDefault="00C0490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C842F" w14:textId="77777777" w:rsidR="00C04904" w:rsidRDefault="00C04904" w:rsidP="00204BB5">
      <w:r>
        <w:separator/>
      </w:r>
    </w:p>
  </w:footnote>
  <w:footnote w:type="continuationSeparator" w:id="0">
    <w:p w14:paraId="00FB313E" w14:textId="77777777" w:rsidR="00C04904" w:rsidRDefault="00C0490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1BFADD59" w:rsidR="004565D4" w:rsidRDefault="004565D4">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4565D4" w:rsidRDefault="004565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5D4"/>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5C6"/>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436B"/>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571D"/>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4E7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4904"/>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47070"/>
    <w:rsid w:val="00C5148A"/>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4C5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3CB"/>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C4707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C47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A91D745-3275-4FE7-8803-D17A2FE7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Лелютина Жанна Нуманжоновна</cp:lastModifiedBy>
  <cp:revision>4</cp:revision>
  <cp:lastPrinted>2021-12-28T09:25:00Z</cp:lastPrinted>
  <dcterms:created xsi:type="dcterms:W3CDTF">2022-01-25T06:13:00Z</dcterms:created>
  <dcterms:modified xsi:type="dcterms:W3CDTF">2022-04-22T14:35:00Z</dcterms:modified>
</cp:coreProperties>
</file>